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E135" w14:textId="77777777" w:rsidR="00CF53AA" w:rsidRPr="00C656F9" w:rsidRDefault="00000000" w:rsidP="00641C6B">
      <w:pPr>
        <w:pStyle w:val="Heading1"/>
        <w:spacing w:before="0" w:line="240" w:lineRule="auto"/>
        <w:jc w:val="center"/>
        <w:rPr>
          <w:color w:val="000000" w:themeColor="text1"/>
        </w:rPr>
      </w:pPr>
      <w:r w:rsidRPr="00C656F9">
        <w:rPr>
          <w:color w:val="000000" w:themeColor="text1"/>
        </w:rPr>
        <w:t>Statement by Core Issues Trust and the International Foundation for Therapeutic and Counselling Choice (IFTCC)</w:t>
      </w:r>
      <w:r w:rsidRPr="00C656F9">
        <w:rPr>
          <w:color w:val="000000" w:themeColor="text1"/>
        </w:rPr>
        <w:br/>
        <w:t>Response to the Conversion Practices (Criminalisation) Bill</w:t>
      </w:r>
    </w:p>
    <w:p w14:paraId="4C94DEDF" w14:textId="77777777" w:rsidR="00C656F9" w:rsidRPr="00C656F9" w:rsidRDefault="00C656F9" w:rsidP="00C656F9">
      <w:pPr>
        <w:rPr>
          <w:color w:val="000000" w:themeColor="text1"/>
        </w:rPr>
      </w:pPr>
    </w:p>
    <w:p w14:paraId="30D0AA1D" w14:textId="77777777" w:rsidR="00CF53AA" w:rsidRPr="00C656F9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 xml:space="preserve">Core Issues Trust and the International Foundation for Therapeutic and Counselling Choice (IFTCC) oppose abuse, coercion, degrading treatment and every form of unethical practice, whether therapeutic, </w:t>
      </w:r>
      <w:proofErr w:type="gramStart"/>
      <w:r w:rsidRPr="00C656F9">
        <w:rPr>
          <w:color w:val="000000" w:themeColor="text1"/>
          <w:sz w:val="24"/>
        </w:rPr>
        <w:t>pastoral</w:t>
      </w:r>
      <w:proofErr w:type="gramEnd"/>
      <w:r w:rsidRPr="00C656F9">
        <w:rPr>
          <w:color w:val="000000" w:themeColor="text1"/>
          <w:sz w:val="24"/>
        </w:rPr>
        <w:t xml:space="preserve"> or religious. Such conduct has no place in the care of any person and should never be defended.</w:t>
      </w:r>
    </w:p>
    <w:p w14:paraId="03EFE604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501AD7C0" w14:textId="77777777" w:rsidR="00CF53AA" w:rsidRPr="00C656F9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>The proposed legislation, however, raises a fundamental policy question that deserves careful consideration.</w:t>
      </w:r>
    </w:p>
    <w:p w14:paraId="383CD9B3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30D3C9F3" w14:textId="24F4BE80" w:rsidR="00CF53AA" w:rsidRPr="00C656F9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 xml:space="preserve">The Bill expressly exempts specified registered healthcare professionals acting in accordance with the standards of their regulatory bodies. In doing so, it recognises </w:t>
      </w:r>
      <w:r w:rsidR="00C656F9" w:rsidRPr="00C656F9">
        <w:rPr>
          <w:color w:val="000000" w:themeColor="text1"/>
          <w:sz w:val="24"/>
        </w:rPr>
        <w:t xml:space="preserve">only </w:t>
      </w:r>
      <w:r w:rsidRPr="00C656F9">
        <w:rPr>
          <w:color w:val="000000" w:themeColor="text1"/>
          <w:sz w:val="24"/>
        </w:rPr>
        <w:t>one established professional framework as the legitimate context in which exploratory conversations may continue.</w:t>
      </w:r>
    </w:p>
    <w:p w14:paraId="3B4E5A32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74DF5404" w14:textId="3A040F60" w:rsidR="00CF53AA" w:rsidRPr="00C656F9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>At the same time, the Bill makes no corresponding recognition of lawful pastoral care.</w:t>
      </w:r>
      <w:r w:rsidR="00C656F9" w:rsidRPr="00C656F9">
        <w:rPr>
          <w:color w:val="000000" w:themeColor="text1"/>
        </w:rPr>
        <w:t xml:space="preserve"> </w:t>
      </w:r>
      <w:r w:rsidRPr="00C656F9">
        <w:rPr>
          <w:color w:val="000000" w:themeColor="text1"/>
          <w:sz w:val="24"/>
        </w:rPr>
        <w:t>This omission is significant.</w:t>
      </w:r>
    </w:p>
    <w:p w14:paraId="0EA0191B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36A7121E" w14:textId="4E9DE9EB" w:rsidR="00CF53AA" w:rsidRPr="00C656F9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>Across Northern Ireland, churches, ministries and faith communities</w:t>
      </w:r>
      <w:r w:rsidR="0006138F">
        <w:rPr>
          <w:color w:val="000000" w:themeColor="text1"/>
          <w:sz w:val="24"/>
        </w:rPr>
        <w:t xml:space="preserve">, parents and </w:t>
      </w:r>
      <w:proofErr w:type="spellStart"/>
      <w:r w:rsidR="0006138F">
        <w:rPr>
          <w:color w:val="000000" w:themeColor="text1"/>
          <w:sz w:val="24"/>
        </w:rPr>
        <w:t>friends</w:t>
      </w:r>
      <w:r w:rsidRPr="00C656F9">
        <w:rPr>
          <w:color w:val="000000" w:themeColor="text1"/>
          <w:sz w:val="24"/>
        </w:rPr>
        <w:t xml:space="preserve"> </w:t>
      </w:r>
      <w:proofErr w:type="spellEnd"/>
      <w:r w:rsidRPr="00C656F9">
        <w:rPr>
          <w:color w:val="000000" w:themeColor="text1"/>
          <w:sz w:val="24"/>
        </w:rPr>
        <w:t xml:space="preserve">provide pastoral support to individuals who voluntarily seek help in relation to sexuality, </w:t>
      </w:r>
      <w:proofErr w:type="gramStart"/>
      <w:r w:rsidRPr="00C656F9">
        <w:rPr>
          <w:color w:val="000000" w:themeColor="text1"/>
          <w:sz w:val="24"/>
        </w:rPr>
        <w:t>identity</w:t>
      </w:r>
      <w:proofErr w:type="gramEnd"/>
      <w:r w:rsidRPr="00C656F9">
        <w:rPr>
          <w:color w:val="000000" w:themeColor="text1"/>
          <w:sz w:val="24"/>
        </w:rPr>
        <w:t xml:space="preserve"> and faith. That work is neither healthcare nor psychotherapy. It is a longstanding and lawful expression of religious liberty, freedom of conscience and pastoral ministry. Yet the Bill is silent about its place within the proposed legislative framework.</w:t>
      </w:r>
    </w:p>
    <w:p w14:paraId="4153CA54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31EF0A7D" w14:textId="78743E64" w:rsidR="00CF53AA" w:rsidRPr="00901D49" w:rsidRDefault="00000000" w:rsidP="00C656F9">
      <w:pPr>
        <w:spacing w:after="0" w:line="240" w:lineRule="auto"/>
        <w:rPr>
          <w:color w:val="000000" w:themeColor="text1"/>
        </w:rPr>
      </w:pPr>
      <w:r w:rsidRPr="00C656F9">
        <w:rPr>
          <w:color w:val="000000" w:themeColor="text1"/>
          <w:sz w:val="24"/>
        </w:rPr>
        <w:t>The Assembly should therefore consider a straightforward question:</w:t>
      </w:r>
    </w:p>
    <w:p w14:paraId="1956628A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3A723A8C" w14:textId="5B2AC108" w:rsidR="00CF53AA" w:rsidRPr="00641C6B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641C6B">
        <w:rPr>
          <w:color w:val="000000" w:themeColor="text1"/>
          <w:sz w:val="24"/>
        </w:rPr>
        <w:t xml:space="preserve">If the Bill expressly protects legitimate healthcare provided within recognised professional frameworks, </w:t>
      </w:r>
      <w:r w:rsidR="00901D49" w:rsidRPr="00641C6B">
        <w:rPr>
          <w:color w:val="000000" w:themeColor="text1"/>
          <w:sz w:val="24"/>
        </w:rPr>
        <w:t xml:space="preserve">and ignores the role of parents and community workers, </w:t>
      </w:r>
      <w:r w:rsidRPr="00641C6B">
        <w:rPr>
          <w:color w:val="000000" w:themeColor="text1"/>
          <w:sz w:val="24"/>
        </w:rPr>
        <w:t>why does it make no corresponding recognition of lawful pastoral care</w:t>
      </w:r>
      <w:r w:rsidR="00901D49" w:rsidRPr="00641C6B">
        <w:rPr>
          <w:color w:val="000000" w:themeColor="text1"/>
          <w:sz w:val="24"/>
        </w:rPr>
        <w:t xml:space="preserve"> and the wider support available in communities</w:t>
      </w:r>
      <w:r w:rsidRPr="00641C6B">
        <w:rPr>
          <w:color w:val="000000" w:themeColor="text1"/>
          <w:sz w:val="24"/>
        </w:rPr>
        <w:t>?</w:t>
      </w:r>
    </w:p>
    <w:p w14:paraId="371EBB95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4B3CDE3B" w14:textId="77777777" w:rsidR="00CF53AA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 xml:space="preserve">This is not a request for state regulation of pastoral care, nor for the endorsement of any </w:t>
      </w:r>
      <w:proofErr w:type="gramStart"/>
      <w:r w:rsidRPr="00C656F9">
        <w:rPr>
          <w:color w:val="000000" w:themeColor="text1"/>
          <w:sz w:val="24"/>
        </w:rPr>
        <w:t>particular organisation</w:t>
      </w:r>
      <w:proofErr w:type="gramEnd"/>
      <w:r w:rsidRPr="00C656F9">
        <w:rPr>
          <w:color w:val="000000" w:themeColor="text1"/>
          <w:sz w:val="24"/>
        </w:rPr>
        <w:t xml:space="preserve">. It is a call for the Assembly to recognise that lawful pastoral care exists outside the healthcare system and that it already operates within ethical standards, safeguarding procedures, supervision, </w:t>
      </w:r>
      <w:proofErr w:type="gramStart"/>
      <w:r w:rsidRPr="00C656F9">
        <w:rPr>
          <w:color w:val="000000" w:themeColor="text1"/>
          <w:sz w:val="24"/>
        </w:rPr>
        <w:t>transparency</w:t>
      </w:r>
      <w:proofErr w:type="gramEnd"/>
      <w:r w:rsidRPr="00C656F9">
        <w:rPr>
          <w:color w:val="000000" w:themeColor="text1"/>
          <w:sz w:val="24"/>
        </w:rPr>
        <w:t xml:space="preserve"> and organisational accountability.</w:t>
      </w:r>
    </w:p>
    <w:p w14:paraId="3F26968A" w14:textId="77777777" w:rsidR="00901D49" w:rsidRDefault="00901D49" w:rsidP="00C656F9">
      <w:pPr>
        <w:spacing w:after="0" w:line="240" w:lineRule="auto"/>
        <w:rPr>
          <w:color w:val="000000" w:themeColor="text1"/>
          <w:sz w:val="24"/>
        </w:rPr>
      </w:pPr>
    </w:p>
    <w:p w14:paraId="69D63142" w14:textId="592CB1DA" w:rsidR="00901D49" w:rsidRPr="00C656F9" w:rsidRDefault="00901D49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>The Bill also relies upon the Memorandum of Understanding on Conversion Therapy as part of its policy foundation. While that Memorandum reflects the position of many healthcare organisations</w:t>
      </w:r>
      <w:r>
        <w:rPr>
          <w:color w:val="000000" w:themeColor="text1"/>
          <w:sz w:val="24"/>
        </w:rPr>
        <w:t xml:space="preserve"> – but not all</w:t>
      </w:r>
      <w:r w:rsidRPr="00C656F9">
        <w:rPr>
          <w:color w:val="000000" w:themeColor="text1"/>
          <w:sz w:val="24"/>
        </w:rPr>
        <w:t>, it does not represent the full diversity of lawful therapeutic and pastoral practice or professional opinion. One professional framework should not become the only recognised model of lawful support.</w:t>
      </w:r>
    </w:p>
    <w:p w14:paraId="29A980DB" w14:textId="77777777" w:rsidR="00C656F9" w:rsidRPr="00C656F9" w:rsidRDefault="00C656F9" w:rsidP="00C656F9">
      <w:pPr>
        <w:spacing w:after="0" w:line="240" w:lineRule="auto"/>
        <w:rPr>
          <w:color w:val="000000" w:themeColor="text1"/>
        </w:rPr>
      </w:pPr>
    </w:p>
    <w:p w14:paraId="7926614F" w14:textId="77777777" w:rsidR="00CF53AA" w:rsidRPr="00C656F9" w:rsidRDefault="00000000" w:rsidP="00C656F9">
      <w:pPr>
        <w:spacing w:after="0" w:line="240" w:lineRule="auto"/>
        <w:rPr>
          <w:color w:val="000000" w:themeColor="text1"/>
        </w:rPr>
      </w:pPr>
      <w:r w:rsidRPr="00C656F9">
        <w:rPr>
          <w:color w:val="000000" w:themeColor="text1"/>
          <w:sz w:val="24"/>
        </w:rPr>
        <w:t>This debate should not be confined to what should be criminalised. It should also address what forms of lawful support society wishes to preserve. A legislative framework that expressly recognises one sphere of lawful support while remaining silent about another risks creating uncertainty where clarity is most needed.</w:t>
      </w:r>
    </w:p>
    <w:p w14:paraId="507018C5" w14:textId="77777777" w:rsidR="00CF53AA" w:rsidRDefault="00000000" w:rsidP="00C656F9">
      <w:pPr>
        <w:spacing w:after="0" w:line="240" w:lineRule="auto"/>
        <w:rPr>
          <w:color w:val="000000" w:themeColor="text1"/>
          <w:sz w:val="24"/>
        </w:rPr>
      </w:pPr>
      <w:r w:rsidRPr="00C656F9">
        <w:rPr>
          <w:color w:val="000000" w:themeColor="text1"/>
          <w:sz w:val="24"/>
        </w:rPr>
        <w:t>Core Issues Trust and the IFTCC respectfully invite Members of the Northern Ireland Assembly to consider this question carefully during scrutiny of the Bill.</w:t>
      </w:r>
    </w:p>
    <w:p w14:paraId="1EAF6536" w14:textId="77777777" w:rsidR="00641C6B" w:rsidRDefault="00641C6B" w:rsidP="00C656F9">
      <w:pPr>
        <w:spacing w:after="0" w:line="240" w:lineRule="auto"/>
        <w:rPr>
          <w:color w:val="000000" w:themeColor="text1"/>
          <w:sz w:val="24"/>
        </w:rPr>
      </w:pPr>
    </w:p>
    <w:p w14:paraId="7CD2DF2A" w14:textId="58F41799" w:rsidR="00641C6B" w:rsidRDefault="00641C6B" w:rsidP="00C656F9">
      <w:pPr>
        <w:spacing w:after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Mike Davidson</w:t>
      </w:r>
    </w:p>
    <w:p w14:paraId="002FADE8" w14:textId="2D3FAE0B" w:rsidR="00641C6B" w:rsidRPr="00641C6B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hyperlink r:id="rId6" w:history="1">
        <w:r w:rsidR="00641C6B" w:rsidRPr="007A2437">
          <w:rPr>
            <w:rStyle w:val="Hyperlink"/>
            <w:b/>
            <w:bCs/>
            <w:sz w:val="24"/>
          </w:rPr>
          <w:t>CEO Core Issues Trust</w:t>
        </w:r>
      </w:hyperlink>
    </w:p>
    <w:p w14:paraId="3B10D58D" w14:textId="46B57DCA" w:rsidR="00641C6B" w:rsidRDefault="00641C6B" w:rsidP="00C656F9">
      <w:pPr>
        <w:spacing w:after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Chairman</w:t>
      </w:r>
    </w:p>
    <w:p w14:paraId="261BD921" w14:textId="1BCAFC47" w:rsidR="00641C6B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hyperlink r:id="rId7" w:history="1">
        <w:r w:rsidR="00641C6B" w:rsidRPr="007A2437">
          <w:rPr>
            <w:rStyle w:val="Hyperlink"/>
            <w:b/>
            <w:bCs/>
            <w:sz w:val="24"/>
          </w:rPr>
          <w:t>International Foundation for Therapeutic and Counselling Choice.</w:t>
        </w:r>
      </w:hyperlink>
    </w:p>
    <w:p w14:paraId="6A627D6D" w14:textId="77777777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</w:p>
    <w:p w14:paraId="4E2BA5DF" w14:textId="479F63D5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More information:</w:t>
      </w:r>
    </w:p>
    <w:p w14:paraId="37F9BC4C" w14:textId="5423749D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hyperlink r:id="rId8" w:history="1">
        <w:r w:rsidRPr="001065B9">
          <w:rPr>
            <w:rStyle w:val="Hyperlink"/>
            <w:b/>
            <w:bCs/>
            <w:sz w:val="24"/>
          </w:rPr>
          <w:t>mike.davidson@core-issues.org</w:t>
        </w:r>
      </w:hyperlink>
    </w:p>
    <w:p w14:paraId="655C7BCE" w14:textId="6A30EAB3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hyperlink r:id="rId9" w:history="1">
        <w:r w:rsidRPr="001065B9">
          <w:rPr>
            <w:rStyle w:val="Hyperlink"/>
            <w:b/>
            <w:bCs/>
            <w:sz w:val="24"/>
          </w:rPr>
          <w:t>media@core-issues.org</w:t>
        </w:r>
      </w:hyperlink>
    </w:p>
    <w:p w14:paraId="1FFDF0AA" w14:textId="77777777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</w:p>
    <w:p w14:paraId="77D59CCB" w14:textId="77777777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 xml:space="preserve">Belfast </w:t>
      </w:r>
    </w:p>
    <w:p w14:paraId="504C9DC1" w14:textId="37D81620" w:rsidR="007A2437" w:rsidRDefault="007A2437" w:rsidP="00C656F9">
      <w:pPr>
        <w:spacing w:after="0" w:line="240" w:lineRule="auto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1 July 2024</w:t>
      </w:r>
    </w:p>
    <w:p w14:paraId="3049235B" w14:textId="77777777" w:rsidR="007A2437" w:rsidRPr="00641C6B" w:rsidRDefault="007A2437" w:rsidP="00C656F9">
      <w:pPr>
        <w:spacing w:after="0" w:line="240" w:lineRule="auto"/>
        <w:rPr>
          <w:b/>
          <w:bCs/>
          <w:color w:val="000000" w:themeColor="text1"/>
        </w:rPr>
      </w:pPr>
    </w:p>
    <w:sectPr w:rsidR="007A2437" w:rsidRPr="00641C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863322">
    <w:abstractNumId w:val="8"/>
  </w:num>
  <w:num w:numId="2" w16cid:durableId="1950966244">
    <w:abstractNumId w:val="6"/>
  </w:num>
  <w:num w:numId="3" w16cid:durableId="1517421776">
    <w:abstractNumId w:val="5"/>
  </w:num>
  <w:num w:numId="4" w16cid:durableId="1867281999">
    <w:abstractNumId w:val="4"/>
  </w:num>
  <w:num w:numId="5" w16cid:durableId="73628322">
    <w:abstractNumId w:val="7"/>
  </w:num>
  <w:num w:numId="6" w16cid:durableId="205723891">
    <w:abstractNumId w:val="3"/>
  </w:num>
  <w:num w:numId="7" w16cid:durableId="1483111839">
    <w:abstractNumId w:val="2"/>
  </w:num>
  <w:num w:numId="8" w16cid:durableId="2032996653">
    <w:abstractNumId w:val="1"/>
  </w:num>
  <w:num w:numId="9" w16cid:durableId="134797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38F"/>
    <w:rsid w:val="0015074B"/>
    <w:rsid w:val="0029639D"/>
    <w:rsid w:val="00326F90"/>
    <w:rsid w:val="00641C6B"/>
    <w:rsid w:val="007A2437"/>
    <w:rsid w:val="00901D49"/>
    <w:rsid w:val="00AA1D8D"/>
    <w:rsid w:val="00B47730"/>
    <w:rsid w:val="00C656F9"/>
    <w:rsid w:val="00CB0664"/>
    <w:rsid w:val="00CF53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F7472"/>
  <w14:defaultImageDpi w14:val="300"/>
  <w15:docId w15:val="{21CECA0A-4192-BC4D-9724-5D6465C3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24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davidson@core-issues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iftcc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re-issues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core-issu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Davidson</cp:lastModifiedBy>
  <cp:revision>2</cp:revision>
  <dcterms:created xsi:type="dcterms:W3CDTF">2026-07-01T13:24:00Z</dcterms:created>
  <dcterms:modified xsi:type="dcterms:W3CDTF">2026-07-01T13:24:00Z</dcterms:modified>
  <cp:category/>
</cp:coreProperties>
</file>